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BFBC3" w14:textId="2C21C2DC" w:rsidR="002803F3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</w:p>
    <w:p w14:paraId="17B2F379" w14:textId="1D5A2B5C" w:rsidR="00213FFA" w:rsidRDefault="00213FFA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 xml:space="preserve">Projektszám: </w:t>
      </w:r>
      <w:r w:rsidRPr="00213FFA">
        <w:rPr>
          <w:sz w:val="28"/>
          <w:szCs w:val="28"/>
        </w:rPr>
        <w:t>2023-1-</w:t>
      </w:r>
      <w:r w:rsidRPr="00213FFA"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E3394" wp14:editId="184D6F5D">
                <wp:simplePos x="0" y="0"/>
                <wp:positionH relativeFrom="margin">
                  <wp:align>right</wp:align>
                </wp:positionH>
                <wp:positionV relativeFrom="page">
                  <wp:posOffset>972185</wp:posOffset>
                </wp:positionV>
                <wp:extent cx="5760000" cy="0"/>
                <wp:effectExtent l="0" t="0" r="127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4CF34DD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  <w10:wrap anchorx="margin" anchory="page"/>
              </v:line>
            </w:pict>
          </mc:Fallback>
        </mc:AlternateContent>
      </w:r>
      <w:r w:rsidRPr="00213FFA">
        <w:rPr>
          <w:sz w:val="28"/>
          <w:szCs w:val="28"/>
        </w:rPr>
        <w:t>HU01-KA121-VET-000130981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27F63B76" w14:textId="7BFBF375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1"/>
        <w:gridCol w:w="11213"/>
      </w:tblGrid>
      <w:tr w:rsidR="00854C26" w14:paraId="39F8732B" w14:textId="77777777" w:rsidTr="00AD06DF">
        <w:tc>
          <w:tcPr>
            <w:tcW w:w="2802" w:type="dxa"/>
          </w:tcPr>
          <w:p w14:paraId="2C53EC9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AA93F91" w14:textId="392BC580" w:rsidR="00854C26" w:rsidRDefault="00151D23" w:rsidP="00391C9E">
            <w:r>
              <w:t>Czibere Csilla</w:t>
            </w:r>
            <w:r w:rsidR="000A07A3">
              <w:t xml:space="preserve"> </w:t>
            </w:r>
            <w:bookmarkStart w:id="0" w:name="_GoBack"/>
            <w:bookmarkEnd w:id="0"/>
          </w:p>
        </w:tc>
      </w:tr>
      <w:tr w:rsidR="00854C26" w14:paraId="07E8856C" w14:textId="77777777" w:rsidTr="00AD06DF">
        <w:tc>
          <w:tcPr>
            <w:tcW w:w="2802" w:type="dxa"/>
          </w:tcPr>
          <w:p w14:paraId="0B671C21" w14:textId="41A2B170" w:rsidR="00854C26" w:rsidRDefault="00F520F7" w:rsidP="00F520F7">
            <w:r>
              <w:t>B</w:t>
            </w:r>
            <w:r w:rsidR="00854C26">
              <w:t>eosztás</w:t>
            </w:r>
            <w:r w:rsidR="007B4C70">
              <w:t>, oktatott tantárgyak (ha releváns)</w:t>
            </w:r>
          </w:p>
        </w:tc>
        <w:tc>
          <w:tcPr>
            <w:tcW w:w="11340" w:type="dxa"/>
          </w:tcPr>
          <w:p w14:paraId="0DAED9DC" w14:textId="186441D7" w:rsidR="00854C26" w:rsidRDefault="00151D23" w:rsidP="00391C9E">
            <w:r>
              <w:t>gyógypedagógus – habilitációs-rehabilitációs ellátás, fejlesztő pedagógiai ellátás</w:t>
            </w:r>
          </w:p>
        </w:tc>
      </w:tr>
      <w:tr w:rsidR="006D0EB3" w14:paraId="1B126B2E" w14:textId="77777777" w:rsidTr="00AD06DF">
        <w:tc>
          <w:tcPr>
            <w:tcW w:w="2802" w:type="dxa"/>
          </w:tcPr>
          <w:p w14:paraId="7E53320F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58B461A2" w14:textId="49253E94" w:rsidR="006D0EB3" w:rsidRDefault="00151D23" w:rsidP="00151D23">
            <w:r w:rsidRPr="00151D23">
              <w:t>Szegedi SZC Krúdy Gyula Szakképző Iskola</w:t>
            </w:r>
            <w:r>
              <w:t>; 6723 Szeged, József Attila sg</w:t>
            </w:r>
            <w:r w:rsidRPr="00151D23">
              <w:t>t. 120</w:t>
            </w:r>
            <w:r>
              <w:t>.</w:t>
            </w:r>
          </w:p>
        </w:tc>
      </w:tr>
    </w:tbl>
    <w:p w14:paraId="3B04257B" w14:textId="3AE0FB43"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1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14:paraId="358A975C" w14:textId="77777777" w:rsidTr="00602EE9">
        <w:tc>
          <w:tcPr>
            <w:tcW w:w="2784" w:type="dxa"/>
          </w:tcPr>
          <w:p w14:paraId="7123CEDA" w14:textId="6AAD5D31" w:rsidR="00602EE9" w:rsidRDefault="00602EE9" w:rsidP="0013730F">
            <w:r>
              <w:t>Hivatkozási szám</w:t>
            </w:r>
            <w:r w:rsidR="00FA60E5">
              <w:t xml:space="preserve"> (projektkód):</w:t>
            </w:r>
          </w:p>
        </w:tc>
        <w:tc>
          <w:tcPr>
            <w:tcW w:w="11210" w:type="dxa"/>
          </w:tcPr>
          <w:p w14:paraId="05C36F1E" w14:textId="773DBBAA" w:rsidR="00602EE9" w:rsidRDefault="00151D23" w:rsidP="0013730F">
            <w:r w:rsidRPr="00151D23">
              <w:t>2023-1-HU01-KA121-VET-000130981</w:t>
            </w:r>
          </w:p>
        </w:tc>
      </w:tr>
    </w:tbl>
    <w:bookmarkEnd w:id="1"/>
    <w:p w14:paraId="2CA689B2" w14:textId="291EA1B2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730F5000" w14:textId="77777777" w:rsidTr="0061350B">
        <w:trPr>
          <w:trHeight w:val="1168"/>
        </w:trPr>
        <w:tc>
          <w:tcPr>
            <w:tcW w:w="2802" w:type="dxa"/>
          </w:tcPr>
          <w:p w14:paraId="0BFD3E2B" w14:textId="77777777" w:rsidR="00854C26" w:rsidRDefault="00A236F9" w:rsidP="00391C9E">
            <w:r>
              <w:t>Mobilitás típusa</w:t>
            </w:r>
          </w:p>
          <w:p w14:paraId="0D46BC8F" w14:textId="77777777"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14:paraId="715FB906" w14:textId="0EC8BF7C" w:rsidR="00A236F9" w:rsidRPr="00151D23" w:rsidRDefault="00773C79" w:rsidP="00E10473">
            <w:pPr>
              <w:pStyle w:val="Listaszerbekezds"/>
              <w:numPr>
                <w:ilvl w:val="0"/>
                <w:numId w:val="1"/>
              </w:numPr>
              <w:rPr>
                <w:u w:val="single"/>
              </w:rPr>
            </w:pPr>
            <w:r w:rsidRPr="00151D23">
              <w:rPr>
                <w:u w:val="single"/>
              </w:rPr>
              <w:t>kurzus</w:t>
            </w:r>
          </w:p>
          <w:p w14:paraId="004A1A7D" w14:textId="77777777" w:rsidR="00A236F9" w:rsidRDefault="00F520F7" w:rsidP="00391C9E">
            <w:pPr>
              <w:pStyle w:val="Listaszerbekezds"/>
              <w:numPr>
                <w:ilvl w:val="0"/>
                <w:numId w:val="1"/>
              </w:numPr>
            </w:pPr>
            <w:r>
              <w:t xml:space="preserve">szakmai látogatás </w:t>
            </w:r>
            <w:r w:rsidR="00A236F9">
              <w:t>(</w:t>
            </w:r>
            <w:proofErr w:type="spellStart"/>
            <w:r w:rsidR="00A236F9">
              <w:t>job</w:t>
            </w:r>
            <w:proofErr w:type="spellEnd"/>
            <w:r w:rsidR="00A236F9">
              <w:t xml:space="preserve"> </w:t>
            </w:r>
            <w:proofErr w:type="spellStart"/>
            <w:r w:rsidR="00A236F9">
              <w:t>shadowing</w:t>
            </w:r>
            <w:proofErr w:type="spellEnd"/>
            <w:r w:rsidR="00A236F9">
              <w:t>)</w:t>
            </w:r>
          </w:p>
          <w:p w14:paraId="35E6D1E7" w14:textId="77777777"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oktatási tevékenység</w:t>
            </w:r>
          </w:p>
        </w:tc>
      </w:tr>
      <w:tr w:rsidR="00A236F9" w14:paraId="262926B1" w14:textId="77777777" w:rsidTr="00AD06DF">
        <w:tc>
          <w:tcPr>
            <w:tcW w:w="2802" w:type="dxa"/>
          </w:tcPr>
          <w:p w14:paraId="2D7D0A5C" w14:textId="77777777" w:rsidR="00A236F9" w:rsidRDefault="00A236F9" w:rsidP="00391C9E">
            <w:r>
              <w:t>Továbbképzés címe</w:t>
            </w:r>
          </w:p>
          <w:p w14:paraId="310336BA" w14:textId="77777777"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14:paraId="63574619" w14:textId="3D1981A1" w:rsidR="00A236F9" w:rsidRDefault="00151D23" w:rsidP="00391C9E">
            <w:proofErr w:type="spellStart"/>
            <w:r w:rsidRPr="00151D23">
              <w:t>Embracing</w:t>
            </w:r>
            <w:proofErr w:type="spellEnd"/>
            <w:r w:rsidRPr="00151D23">
              <w:t xml:space="preserve"> </w:t>
            </w:r>
            <w:proofErr w:type="spellStart"/>
            <w:r w:rsidRPr="00151D23">
              <w:t>Neurodiversity</w:t>
            </w:r>
            <w:proofErr w:type="spellEnd"/>
            <w:r w:rsidRPr="00151D23">
              <w:t xml:space="preserve"> </w:t>
            </w:r>
            <w:proofErr w:type="spellStart"/>
            <w:r w:rsidRPr="00151D23">
              <w:t>-Supporting</w:t>
            </w:r>
            <w:proofErr w:type="spellEnd"/>
            <w:r w:rsidRPr="00151D23">
              <w:t xml:space="preserve"> </w:t>
            </w:r>
            <w:proofErr w:type="spellStart"/>
            <w:r w:rsidRPr="00151D23">
              <w:t>Special</w:t>
            </w:r>
            <w:proofErr w:type="spellEnd"/>
            <w:r w:rsidRPr="00151D23">
              <w:t xml:space="preserve"> </w:t>
            </w:r>
            <w:proofErr w:type="spellStart"/>
            <w:r w:rsidRPr="00151D23">
              <w:t>Educational</w:t>
            </w:r>
            <w:proofErr w:type="spellEnd"/>
            <w:r w:rsidRPr="00151D23">
              <w:t xml:space="preserve"> </w:t>
            </w:r>
            <w:proofErr w:type="spellStart"/>
            <w:r w:rsidRPr="00151D23">
              <w:t>Needs</w:t>
            </w:r>
            <w:proofErr w:type="spellEnd"/>
            <w:r w:rsidRPr="00151D23">
              <w:t xml:space="preserve"> (SEN) </w:t>
            </w:r>
            <w:proofErr w:type="spellStart"/>
            <w:r w:rsidRPr="00151D23">
              <w:t>in</w:t>
            </w:r>
            <w:proofErr w:type="spellEnd"/>
            <w:r w:rsidRPr="00151D23">
              <w:t xml:space="preserve"> </w:t>
            </w:r>
            <w:proofErr w:type="spellStart"/>
            <w:r w:rsidRPr="00151D23">
              <w:t>the</w:t>
            </w:r>
            <w:proofErr w:type="spellEnd"/>
            <w:r w:rsidRPr="00151D23">
              <w:t xml:space="preserve"> </w:t>
            </w:r>
            <w:proofErr w:type="spellStart"/>
            <w:r w:rsidRPr="00151D23">
              <w:t>classroom</w:t>
            </w:r>
            <w:proofErr w:type="spellEnd"/>
          </w:p>
        </w:tc>
      </w:tr>
      <w:tr w:rsidR="00A236F9" w14:paraId="5D4B942E" w14:textId="77777777" w:rsidTr="0061350B">
        <w:trPr>
          <w:trHeight w:val="428"/>
        </w:trPr>
        <w:tc>
          <w:tcPr>
            <w:tcW w:w="2802" w:type="dxa"/>
          </w:tcPr>
          <w:p w14:paraId="13BE2693" w14:textId="77777777"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14:paraId="00DA99D1" w14:textId="635A929E" w:rsidR="005E7FFD" w:rsidRDefault="00151D23" w:rsidP="00391C9E">
            <w:proofErr w:type="spellStart"/>
            <w:r>
              <w:t>Executive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Institute, </w:t>
            </w:r>
            <w:proofErr w:type="spellStart"/>
            <w:r>
              <w:t>Malta</w:t>
            </w:r>
            <w:proofErr w:type="spellEnd"/>
            <w:r>
              <w:t xml:space="preserve"> (ETI </w:t>
            </w:r>
            <w:proofErr w:type="spellStart"/>
            <w:r>
              <w:t>Malta</w:t>
            </w:r>
            <w:proofErr w:type="spellEnd"/>
            <w:r>
              <w:t>)</w:t>
            </w:r>
          </w:p>
        </w:tc>
      </w:tr>
      <w:tr w:rsidR="005E7FFD" w14:paraId="5A33C826" w14:textId="77777777" w:rsidTr="0061350B">
        <w:trPr>
          <w:trHeight w:val="703"/>
        </w:trPr>
        <w:tc>
          <w:tcPr>
            <w:tcW w:w="2802" w:type="dxa"/>
          </w:tcPr>
          <w:p w14:paraId="37809DD3" w14:textId="77777777" w:rsidR="005E7FFD" w:rsidRDefault="005E7FFD" w:rsidP="00391C9E">
            <w:r>
              <w:lastRenderedPageBreak/>
              <w:t>Fogadó intézmény típusa</w:t>
            </w:r>
          </w:p>
          <w:p w14:paraId="5C338948" w14:textId="77777777"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14:paraId="402682FF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oktatási intézmény</w:t>
            </w:r>
          </w:p>
          <w:p w14:paraId="207C436F" w14:textId="77777777" w:rsidR="005E7FFD" w:rsidRPr="00151D23" w:rsidRDefault="005E7FFD" w:rsidP="00391C9E">
            <w:pPr>
              <w:pStyle w:val="Listaszerbekezds"/>
              <w:numPr>
                <w:ilvl w:val="0"/>
                <w:numId w:val="2"/>
              </w:numPr>
              <w:rPr>
                <w:u w:val="single"/>
              </w:rPr>
            </w:pPr>
            <w:r w:rsidRPr="00151D23">
              <w:rPr>
                <w:u w:val="single"/>
              </w:rPr>
              <w:t>továbbképző intézmény</w:t>
            </w:r>
          </w:p>
        </w:tc>
      </w:tr>
      <w:tr w:rsidR="00A236F9" w14:paraId="34F51D9D" w14:textId="77777777" w:rsidTr="00AD06DF">
        <w:tc>
          <w:tcPr>
            <w:tcW w:w="2802" w:type="dxa"/>
          </w:tcPr>
          <w:p w14:paraId="0F9236F2" w14:textId="77777777"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14:paraId="77528CEB" w14:textId="24B79C41" w:rsidR="00A236F9" w:rsidRDefault="00151D23" w:rsidP="00391C9E">
            <w:r>
              <w:t>Málta</w:t>
            </w:r>
          </w:p>
        </w:tc>
      </w:tr>
      <w:tr w:rsidR="00A236F9" w14:paraId="04A2DA89" w14:textId="77777777" w:rsidTr="00AD06DF">
        <w:tc>
          <w:tcPr>
            <w:tcW w:w="2802" w:type="dxa"/>
          </w:tcPr>
          <w:p w14:paraId="3A7DEED2" w14:textId="77777777"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14:paraId="0C3FBF84" w14:textId="32F22FD2" w:rsidR="00A236F9" w:rsidRDefault="00151D23" w:rsidP="00391C9E">
            <w:r>
              <w:t>angol</w:t>
            </w:r>
          </w:p>
        </w:tc>
      </w:tr>
      <w:tr w:rsidR="00A236F9" w14:paraId="6CE14942" w14:textId="77777777" w:rsidTr="00AD06DF">
        <w:tc>
          <w:tcPr>
            <w:tcW w:w="2802" w:type="dxa"/>
          </w:tcPr>
          <w:p w14:paraId="6BB0E4ED" w14:textId="174AB30F" w:rsidR="00A236F9" w:rsidRDefault="00A236F9" w:rsidP="00AD06DF">
            <w:r>
              <w:t>Mobilitás időtartama</w:t>
            </w:r>
          </w:p>
        </w:tc>
        <w:tc>
          <w:tcPr>
            <w:tcW w:w="11340" w:type="dxa"/>
          </w:tcPr>
          <w:p w14:paraId="67804CF0" w14:textId="05B0F479" w:rsidR="008E0348" w:rsidRPr="001B1423" w:rsidRDefault="00151D23" w:rsidP="008E0348">
            <w:r>
              <w:t xml:space="preserve">2025.05.12 </w:t>
            </w:r>
            <w:proofErr w:type="spellStart"/>
            <w:r>
              <w:t>-</w:t>
            </w:r>
            <w:proofErr w:type="gramStart"/>
            <w:r>
              <w:t>tő</w:t>
            </w:r>
            <w:r w:rsidR="008E0348" w:rsidRPr="001B1423">
              <w:t>l</w:t>
            </w:r>
            <w:proofErr w:type="spellEnd"/>
            <w:r w:rsidR="008E0348" w:rsidRPr="001B1423">
              <w:t xml:space="preserve">  </w:t>
            </w:r>
            <w:r>
              <w:t>2025.</w:t>
            </w:r>
            <w:proofErr w:type="gramEnd"/>
            <w:r>
              <w:t>05.16</w:t>
            </w:r>
            <w:r w:rsidR="008E0348" w:rsidRPr="001B1423">
              <w:t xml:space="preserve"> </w:t>
            </w:r>
            <w:proofErr w:type="spellStart"/>
            <w:r w:rsidR="008E0348" w:rsidRPr="001B1423">
              <w:t>-ig</w:t>
            </w:r>
            <w:proofErr w:type="spellEnd"/>
          </w:p>
          <w:p w14:paraId="401483BB" w14:textId="421D17BE" w:rsidR="008E0348" w:rsidRPr="001B1423" w:rsidRDefault="00151D23" w:rsidP="008E0348">
            <w:r>
              <w:t>5</w:t>
            </w:r>
            <w:r w:rsidR="008E0348" w:rsidRPr="001B1423">
              <w:t xml:space="preserve"> nap (munkanapok száma)</w:t>
            </w:r>
          </w:p>
          <w:p w14:paraId="7C4B3947" w14:textId="178D377E" w:rsidR="00A236F9" w:rsidRDefault="00151D23" w:rsidP="008E0348">
            <w:r>
              <w:t>2</w:t>
            </w:r>
            <w:r w:rsidR="008E0348" w:rsidRPr="001B1423">
              <w:t xml:space="preserve"> utazási napok száma</w:t>
            </w:r>
          </w:p>
        </w:tc>
      </w:tr>
    </w:tbl>
    <w:p w14:paraId="0AE8EA9E" w14:textId="77777777" w:rsidR="00D77E71" w:rsidRDefault="00D77E71" w:rsidP="00D77E71">
      <w:pPr>
        <w:rPr>
          <w:sz w:val="28"/>
          <w:szCs w:val="28"/>
          <w:highlight w:val="lightGray"/>
        </w:rPr>
      </w:pPr>
    </w:p>
    <w:p w14:paraId="65CEF710" w14:textId="2D8964B3"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14:paraId="4FE916E6" w14:textId="77777777"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14:paraId="69FBEE1D" w14:textId="77777777" w:rsidTr="000F7124">
        <w:trPr>
          <w:trHeight w:val="1268"/>
        </w:trPr>
        <w:tc>
          <w:tcPr>
            <w:tcW w:w="13994" w:type="dxa"/>
            <w:shd w:val="clear" w:color="auto" w:fill="FFFFFF" w:themeFill="background1"/>
          </w:tcPr>
          <w:p w14:paraId="47D0FF73" w14:textId="7F65E33B" w:rsidR="006F17AA" w:rsidRPr="002B5674" w:rsidRDefault="008766EC" w:rsidP="00266500">
            <w:pPr>
              <w:jc w:val="both"/>
              <w:rPr>
                <w:sz w:val="24"/>
                <w:szCs w:val="24"/>
                <w:highlight w:val="lightGray"/>
              </w:rPr>
            </w:pPr>
            <w:r w:rsidRPr="002B5674">
              <w:rPr>
                <w:sz w:val="24"/>
                <w:szCs w:val="24"/>
                <w:highlight w:val="lightGray"/>
              </w:rPr>
              <w:t xml:space="preserve">A mobilitásra egyrészt az utazás megszervezésével (repülőjegy, utasbiztosítás, szállás) és napokra lebontott kirándulási tervekkel készültem. </w:t>
            </w:r>
            <w:r w:rsidR="000F7124" w:rsidRPr="002B5674">
              <w:rPr>
                <w:sz w:val="24"/>
                <w:szCs w:val="24"/>
                <w:highlight w:val="lightGray"/>
              </w:rPr>
              <w:t xml:space="preserve">Másrészt az utazás előtti hetekben igyekeztem felfrissíteni a szakmai szókincsemet az ELTE Bárczi Gusztáv Gyógypedagógiai Kar által készített angol-magyar </w:t>
            </w:r>
            <w:r w:rsidR="00266500">
              <w:rPr>
                <w:sz w:val="24"/>
                <w:szCs w:val="24"/>
                <w:highlight w:val="lightGray"/>
              </w:rPr>
              <w:t>szakmai szótárának tanulmányozásával.</w:t>
            </w:r>
          </w:p>
          <w:p w14:paraId="538D2CC9" w14:textId="5ABB7B4F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0AB8923D" w14:textId="560D506F"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F8B2FF" w14:textId="2F026A66"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14:paraId="5FE10EA6" w14:textId="77777777" w:rsidR="00BC6313" w:rsidRPr="004B3A3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49AC3070" w14:textId="137B57A2" w:rsidR="003336D0" w:rsidRDefault="00BC6313" w:rsidP="00BC6313">
      <w:pPr>
        <w:spacing w:after="0" w:line="240" w:lineRule="auto"/>
      </w:pPr>
      <w:r w:rsidRPr="00AD06DF">
        <w:t>(A tanulási folyamat elvárt eredményét írja le, cselekvést jelentő igéket használ, specifikus, konkrét, világos, egyértelmű és mérhető</w:t>
      </w:r>
      <w:r>
        <w:t>.</w:t>
      </w:r>
      <w:r w:rsidRPr="00AD06DF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477ED649" w14:textId="77777777" w:rsidTr="00BC6313">
        <w:tc>
          <w:tcPr>
            <w:tcW w:w="13994" w:type="dxa"/>
          </w:tcPr>
          <w:p w14:paraId="6CD8D160" w14:textId="3FAFC228" w:rsidR="00BC6313" w:rsidRPr="002B5674" w:rsidRDefault="000F7124" w:rsidP="00266500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B5674">
              <w:rPr>
                <w:sz w:val="24"/>
                <w:szCs w:val="24"/>
              </w:rPr>
              <w:t>Szakmai angol nyelvi tudás felfrissítése és fejlesztése.</w:t>
            </w:r>
          </w:p>
          <w:p w14:paraId="65EB8D98" w14:textId="02CB5515" w:rsidR="000F7124" w:rsidRPr="002B5674" w:rsidRDefault="002B5674" w:rsidP="00266500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2B5674">
              <w:rPr>
                <w:sz w:val="24"/>
                <w:szCs w:val="24"/>
              </w:rPr>
              <w:t>Inklúziós</w:t>
            </w:r>
            <w:proofErr w:type="spellEnd"/>
            <w:r w:rsidRPr="002B5674">
              <w:rPr>
                <w:sz w:val="24"/>
                <w:szCs w:val="24"/>
              </w:rPr>
              <w:t xml:space="preserve"> neveléshez kapcsolódó j</w:t>
            </w:r>
            <w:r w:rsidR="000F7124" w:rsidRPr="002B5674">
              <w:rPr>
                <w:sz w:val="24"/>
                <w:szCs w:val="24"/>
              </w:rPr>
              <w:t xml:space="preserve">ó gyakorlatok </w:t>
            </w:r>
            <w:r w:rsidR="00266500">
              <w:rPr>
                <w:sz w:val="24"/>
                <w:szCs w:val="24"/>
              </w:rPr>
              <w:t xml:space="preserve">megismerése, </w:t>
            </w:r>
            <w:r w:rsidR="000F7124" w:rsidRPr="002B5674">
              <w:rPr>
                <w:sz w:val="24"/>
                <w:szCs w:val="24"/>
              </w:rPr>
              <w:t>átvétele.</w:t>
            </w:r>
          </w:p>
          <w:p w14:paraId="108488C0" w14:textId="787C823D" w:rsidR="00BC6313" w:rsidRPr="000F7124" w:rsidRDefault="000F7124" w:rsidP="00266500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2B5674">
              <w:rPr>
                <w:sz w:val="24"/>
                <w:szCs w:val="24"/>
              </w:rPr>
              <w:t xml:space="preserve">Máltai oktatási rendszer és </w:t>
            </w:r>
            <w:proofErr w:type="spellStart"/>
            <w:r w:rsidRPr="002B5674">
              <w:rPr>
                <w:sz w:val="24"/>
                <w:szCs w:val="24"/>
              </w:rPr>
              <w:t>inklúziós</w:t>
            </w:r>
            <w:proofErr w:type="spellEnd"/>
            <w:r w:rsidRPr="002B5674">
              <w:rPr>
                <w:sz w:val="24"/>
                <w:szCs w:val="24"/>
              </w:rPr>
              <w:t xml:space="preserve"> gyakorlat megismerése.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7DDD9EFD" w14:textId="7D874E89" w:rsidR="00BC6313" w:rsidRDefault="00BC6313" w:rsidP="00BC6313">
      <w:pPr>
        <w:spacing w:after="0" w:line="240" w:lineRule="auto"/>
        <w:rPr>
          <w:sz w:val="28"/>
          <w:szCs w:val="28"/>
        </w:rPr>
      </w:pPr>
    </w:p>
    <w:p w14:paraId="030AD751" w14:textId="77777777" w:rsidR="00206C98" w:rsidRDefault="00BC6313" w:rsidP="00206C98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p w14:paraId="7D97562E" w14:textId="4B743007" w:rsidR="00206C98" w:rsidRDefault="00206C98" w:rsidP="00206C98">
      <w:pPr>
        <w:spacing w:after="0"/>
      </w:pPr>
      <w:r w:rsidRPr="00AD06DF">
        <w:t>(Az elvárt tanulási eredmények teljesülésének „vizsgálata”, a személyes fejlődés nyomon követése, bizonyítékok a kompetenciafejlődésre</w:t>
      </w:r>
      <w:r w:rsidR="0013062D">
        <w:t xml:space="preserve"> – a résztvevő hogyan értékeli</w:t>
      </w:r>
      <w:r w:rsidR="009E0D1A">
        <w:t>, sikerült-e elérni a kitűzött tanulási eredményeket a mobilitása során</w:t>
      </w:r>
      <w:r w:rsidRPr="00AD06DF">
        <w:t>.)</w:t>
      </w:r>
    </w:p>
    <w:p w14:paraId="269E77F7" w14:textId="31D220F7" w:rsidR="00BC6313" w:rsidRDefault="00BC6313" w:rsidP="00BC6313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206C98" w:rsidRPr="005C7734" w14:paraId="0A42D98B" w14:textId="77777777" w:rsidTr="00D43B6B">
        <w:tc>
          <w:tcPr>
            <w:tcW w:w="3114" w:type="dxa"/>
            <w:vAlign w:val="center"/>
          </w:tcPr>
          <w:p w14:paraId="75852497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lastRenderedPageBreak/>
              <w:t>Mit tanult, tapasztalt, sajátított el a mobilitás alatt? Miben fejlődött?</w:t>
            </w:r>
          </w:p>
        </w:tc>
        <w:tc>
          <w:tcPr>
            <w:tcW w:w="10880" w:type="dxa"/>
          </w:tcPr>
          <w:p w14:paraId="4090B37F" w14:textId="2E9C9468" w:rsidR="00206C98" w:rsidRPr="005C7734" w:rsidRDefault="002B5674" w:rsidP="00EA2996">
            <w:pPr>
              <w:jc w:val="both"/>
              <w:rPr>
                <w:rFonts w:cstheme="minorHAnsi"/>
                <w:sz w:val="24"/>
                <w:szCs w:val="24"/>
              </w:rPr>
            </w:pPr>
            <w:r w:rsidRPr="002B5674">
              <w:rPr>
                <w:rFonts w:cstheme="minorHAnsi"/>
                <w:sz w:val="24"/>
                <w:szCs w:val="24"/>
              </w:rPr>
              <w:t>Új ismereteket szereztem a máltai oktatási rendszerről, a magyar és más országok által használt</w:t>
            </w:r>
            <w:r w:rsidR="00EA2996">
              <w:rPr>
                <w:rFonts w:cstheme="minorHAnsi"/>
                <w:sz w:val="24"/>
                <w:szCs w:val="24"/>
              </w:rPr>
              <w:t xml:space="preserve"> </w:t>
            </w:r>
            <w:r w:rsidRPr="002B5674">
              <w:rPr>
                <w:rFonts w:cstheme="minorHAnsi"/>
                <w:sz w:val="24"/>
                <w:szCs w:val="24"/>
              </w:rPr>
              <w:t>gyógypedagógiai szakkifejezések tartalmi különbségeiről, valamint né</w:t>
            </w:r>
            <w:r w:rsidR="00EA2996">
              <w:rPr>
                <w:rFonts w:cstheme="minorHAnsi"/>
                <w:sz w:val="24"/>
                <w:szCs w:val="24"/>
              </w:rPr>
              <w:t xml:space="preserve">hány, a sajátos nevelési igényű </w:t>
            </w:r>
            <w:r w:rsidRPr="002B5674">
              <w:rPr>
                <w:rFonts w:cstheme="minorHAnsi"/>
                <w:sz w:val="24"/>
                <w:szCs w:val="24"/>
              </w:rPr>
              <w:t>tanulók ellátásában használt módszerről és eszközről. Az interaktív feladat</w:t>
            </w:r>
            <w:r w:rsidR="00EA2996">
              <w:rPr>
                <w:rFonts w:cstheme="minorHAnsi"/>
                <w:sz w:val="24"/>
                <w:szCs w:val="24"/>
              </w:rPr>
              <w:t xml:space="preserve">ok során fejlődtek angol nyelvi </w:t>
            </w:r>
            <w:r w:rsidRPr="002B5674">
              <w:rPr>
                <w:rFonts w:cstheme="minorHAnsi"/>
                <w:sz w:val="24"/>
                <w:szCs w:val="24"/>
              </w:rPr>
              <w:t>készségeim (szakmai szókincs, szövegértés és szóbeli kommunikáció), valamint digitális készségei</w:t>
            </w:r>
            <w:r w:rsidR="00EA2996">
              <w:rPr>
                <w:rFonts w:cstheme="minorHAnsi"/>
                <w:sz w:val="24"/>
                <w:szCs w:val="24"/>
              </w:rPr>
              <w:t xml:space="preserve">m </w:t>
            </w:r>
            <w:r w:rsidRPr="002B5674">
              <w:rPr>
                <w:rFonts w:cstheme="minorHAnsi"/>
                <w:sz w:val="24"/>
                <w:szCs w:val="24"/>
              </w:rPr>
              <w:t>(akadálymentesítést támogató funkciók alkalmazása, pedagógiai t</w:t>
            </w:r>
            <w:r w:rsidR="00EA2996">
              <w:rPr>
                <w:rFonts w:cstheme="minorHAnsi"/>
                <w:sz w:val="24"/>
                <w:szCs w:val="24"/>
              </w:rPr>
              <w:t xml:space="preserve">artalomgyártó szoftverprogramok </w:t>
            </w:r>
            <w:r w:rsidRPr="002B5674">
              <w:rPr>
                <w:rFonts w:cstheme="minorHAnsi"/>
                <w:sz w:val="24"/>
                <w:szCs w:val="24"/>
              </w:rPr>
              <w:t>használata, a pedagógiai értékelést és a fejlődést nyomon követő programok használata).</w:t>
            </w:r>
          </w:p>
        </w:tc>
      </w:tr>
      <w:tr w:rsidR="00206C98" w:rsidRPr="005C7734" w14:paraId="120765BA" w14:textId="77777777" w:rsidTr="00D43B6B">
        <w:tc>
          <w:tcPr>
            <w:tcW w:w="3114" w:type="dxa"/>
            <w:vAlign w:val="center"/>
          </w:tcPr>
          <w:p w14:paraId="41A06B22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Mennyire teljesültek az előzőleg meghatározott célkitűzései?</w:t>
            </w:r>
          </w:p>
        </w:tc>
        <w:tc>
          <w:tcPr>
            <w:tcW w:w="10880" w:type="dxa"/>
          </w:tcPr>
          <w:p w14:paraId="2383CACA" w14:textId="4D8BC9D7" w:rsidR="00206C98" w:rsidRPr="005C7734" w:rsidRDefault="002B5674" w:rsidP="00EA299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szakmai nyelvi tudásom az angol nyelven folyó képzésnek köszönhetően sokat fejlődött, elsősorban a beszéd és a szókincs területén. Részletekbe menő tájékoztatást kaptam a máltai oktatási rendszer felépítéséről és az SNI </w:t>
            </w:r>
            <w:r w:rsidR="003D2D4E">
              <w:rPr>
                <w:rFonts w:cstheme="minorHAnsi"/>
                <w:sz w:val="24"/>
                <w:szCs w:val="24"/>
              </w:rPr>
              <w:t xml:space="preserve">tanulók </w:t>
            </w:r>
            <w:r w:rsidR="00266500">
              <w:rPr>
                <w:rFonts w:cstheme="minorHAnsi"/>
                <w:sz w:val="24"/>
                <w:szCs w:val="24"/>
              </w:rPr>
              <w:t xml:space="preserve">diagnosztikájáról, </w:t>
            </w:r>
            <w:r w:rsidR="003D2D4E">
              <w:rPr>
                <w:rFonts w:cstheme="minorHAnsi"/>
                <w:sz w:val="24"/>
                <w:szCs w:val="24"/>
              </w:rPr>
              <w:t>ellátásáról,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2D4E">
              <w:rPr>
                <w:rFonts w:cstheme="minorHAnsi"/>
                <w:sz w:val="24"/>
                <w:szCs w:val="24"/>
              </w:rPr>
              <w:t>fejlesztési-fejlődési</w:t>
            </w:r>
            <w:r>
              <w:rPr>
                <w:rFonts w:cstheme="minorHAnsi"/>
                <w:sz w:val="24"/>
                <w:szCs w:val="24"/>
              </w:rPr>
              <w:t xml:space="preserve"> lehetőségeiről. </w:t>
            </w:r>
          </w:p>
        </w:tc>
      </w:tr>
      <w:tr w:rsidR="00206C98" w:rsidRPr="005C7734" w14:paraId="20C1010C" w14:textId="77777777" w:rsidTr="00D43B6B">
        <w:tc>
          <w:tcPr>
            <w:tcW w:w="3114" w:type="dxa"/>
            <w:vAlign w:val="center"/>
          </w:tcPr>
          <w:p w14:paraId="1FA14FA5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A tapasztalatok milyen előnyt jelentenek a hazai előmenetele/további munkája során?</w:t>
            </w:r>
          </w:p>
        </w:tc>
        <w:tc>
          <w:tcPr>
            <w:tcW w:w="10880" w:type="dxa"/>
          </w:tcPr>
          <w:p w14:paraId="621A29C3" w14:textId="3619C575" w:rsidR="00206C98" w:rsidRPr="005C7734" w:rsidRDefault="002B5674" w:rsidP="00EA299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mindennapi munkám során a leghasznosabb ismeret </w:t>
            </w:r>
            <w:r w:rsidR="003D2D4E">
              <w:rPr>
                <w:rFonts w:cstheme="minorHAnsi"/>
                <w:sz w:val="24"/>
                <w:szCs w:val="24"/>
              </w:rPr>
              <w:t xml:space="preserve">a tananyagok akadálymentesítését, egyéni szükségletekre alakítását segítő weboldalak és platformok megismerése, majd alkalmazásának begyakorlása volt. Ezeket a lehetőségeket a továbbiakban biztosan alkalmazni fogom. Nagyon látványos és hasznos a PAGS diagnosztikus rendszer, ami több kollégával együttműködésben még hatékonyabban alkalmazható. Egyetlen hátránya, hogy angol nyelvű, viszont a nyelvi tagozaton tanuló sajátos nevelési igényű tanulók esetében nincs akadálya annak, hogy a kollégákkal közösen használjuk. </w:t>
            </w:r>
          </w:p>
        </w:tc>
      </w:tr>
      <w:tr w:rsidR="00206C98" w:rsidRPr="005C7734" w14:paraId="7FBC1536" w14:textId="77777777" w:rsidTr="00206C98">
        <w:tc>
          <w:tcPr>
            <w:tcW w:w="3114" w:type="dxa"/>
          </w:tcPr>
          <w:p w14:paraId="48E66463" w14:textId="327CD757" w:rsidR="00206C98" w:rsidRPr="005C7734" w:rsidRDefault="00206C98" w:rsidP="006E698A">
            <w:pPr>
              <w:rPr>
                <w:rFonts w:cstheme="minorHAnsi"/>
                <w:sz w:val="24"/>
                <w:szCs w:val="24"/>
              </w:rPr>
            </w:pPr>
            <w:r w:rsidRPr="001B1423">
              <w:rPr>
                <w:rFonts w:cstheme="minorHAnsi"/>
                <w:sz w:val="24"/>
                <w:szCs w:val="24"/>
              </w:rPr>
              <w:t xml:space="preserve">Milyen új ismeretekre tett szert a fogadó intézmény országának, kurzus esetén a többi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résztvevő </w:t>
            </w:r>
            <w:r w:rsidRPr="001B1423">
              <w:rPr>
                <w:rFonts w:cstheme="minorHAnsi"/>
                <w:sz w:val="24"/>
                <w:szCs w:val="24"/>
              </w:rPr>
              <w:t xml:space="preserve">országának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oktatási rendszeréről, </w:t>
            </w:r>
            <w:r w:rsidR="00D468F7" w:rsidRPr="001B1423">
              <w:rPr>
                <w:rFonts w:cstheme="minorHAnsi"/>
                <w:sz w:val="24"/>
                <w:szCs w:val="24"/>
              </w:rPr>
              <w:t>kultúrájáról</w:t>
            </w:r>
            <w:r w:rsidRPr="001B142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880" w:type="dxa"/>
          </w:tcPr>
          <w:p w14:paraId="49A5FBDC" w14:textId="78700ED4" w:rsidR="00206C98" w:rsidRDefault="001943B9" w:rsidP="00EA299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fogadó ország oktatási rendszeréről részletes tájékoztatást kaptam, és lehetőségem nyílt egy SNI tanulókat fogadó iskola </w:t>
            </w:r>
            <w:r w:rsidR="008C500E">
              <w:rPr>
                <w:rFonts w:cstheme="minorHAnsi"/>
                <w:sz w:val="24"/>
                <w:szCs w:val="24"/>
              </w:rPr>
              <w:t>osztályter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="008C500E">
              <w:rPr>
                <w:rFonts w:cstheme="minorHAnsi"/>
                <w:sz w:val="24"/>
                <w:szCs w:val="24"/>
              </w:rPr>
              <w:t>é</w:t>
            </w:r>
            <w:r>
              <w:rPr>
                <w:rFonts w:cstheme="minorHAnsi"/>
                <w:sz w:val="24"/>
                <w:szCs w:val="24"/>
              </w:rPr>
              <w:t xml:space="preserve">be is látogatást tenni. Az ország kultúráját két, az iskola által szervezett, idegenvezető által vezetett programon való részvétellel (Valletta,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Mdina</w:t>
            </w:r>
            <w:proofErr w:type="spellEnd"/>
            <w:r>
              <w:rPr>
                <w:rFonts w:cstheme="minorHAnsi"/>
                <w:sz w:val="24"/>
                <w:szCs w:val="24"/>
              </w:rPr>
              <w:t>), és saját szervezésű programokkal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Gozo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szigete, </w:t>
            </w:r>
            <w:proofErr w:type="spellStart"/>
            <w:r>
              <w:rPr>
                <w:rFonts w:cstheme="minorHAnsi"/>
                <w:sz w:val="24"/>
                <w:szCs w:val="24"/>
              </w:rPr>
              <w:t>Cirkewwa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Mellieha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San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Gilijan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Sliema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Marsaxlokk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8C500E">
              <w:rPr>
                <w:rFonts w:cstheme="minorHAnsi"/>
                <w:sz w:val="24"/>
                <w:szCs w:val="24"/>
              </w:rPr>
              <w:t>Dingli</w:t>
            </w:r>
            <w:proofErr w:type="spellEnd"/>
            <w:proofErr w:type="gramStart"/>
            <w:r w:rsidR="008C500E">
              <w:rPr>
                <w:rFonts w:cstheme="minorHAnsi"/>
                <w:sz w:val="24"/>
                <w:szCs w:val="24"/>
              </w:rPr>
              <w:t>,</w:t>
            </w:r>
            <w:proofErr w:type="spellStart"/>
            <w:r w:rsidR="008C500E">
              <w:rPr>
                <w:rFonts w:cstheme="minorHAnsi"/>
                <w:sz w:val="24"/>
                <w:szCs w:val="24"/>
              </w:rPr>
              <w:t>Ghajn</w:t>
            </w:r>
            <w:proofErr w:type="spellEnd"/>
            <w:proofErr w:type="gramEnd"/>
            <w:r w:rsidR="008C500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C500E">
              <w:rPr>
                <w:rFonts w:cstheme="minorHAnsi"/>
                <w:sz w:val="24"/>
                <w:szCs w:val="24"/>
              </w:rPr>
              <w:t>Tuffieha</w:t>
            </w:r>
            <w:proofErr w:type="spellEnd"/>
            <w:r w:rsidR="008C500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8C500E">
              <w:rPr>
                <w:rFonts w:cstheme="minorHAnsi"/>
                <w:sz w:val="24"/>
                <w:szCs w:val="24"/>
              </w:rPr>
              <w:t>Mgarr</w:t>
            </w:r>
            <w:proofErr w:type="spellEnd"/>
            <w:r w:rsidR="008C500E">
              <w:rPr>
                <w:rFonts w:cstheme="minorHAnsi"/>
                <w:sz w:val="24"/>
                <w:szCs w:val="24"/>
              </w:rPr>
              <w:t xml:space="preserve">, Rabat, Mosta városokba) ismertem meg. A természet és a túrázás pártolójaként pedig végigsétáltam két világörökségi útvonalat (Victoria </w:t>
            </w:r>
            <w:proofErr w:type="spellStart"/>
            <w:r w:rsidR="008C500E">
              <w:rPr>
                <w:rFonts w:cstheme="minorHAnsi"/>
                <w:sz w:val="24"/>
                <w:szCs w:val="24"/>
              </w:rPr>
              <w:t>Lines</w:t>
            </w:r>
            <w:proofErr w:type="spellEnd"/>
            <w:r w:rsidR="008C500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8C500E">
              <w:rPr>
                <w:rFonts w:cstheme="minorHAnsi"/>
                <w:sz w:val="24"/>
                <w:szCs w:val="24"/>
              </w:rPr>
              <w:t>Xemxija</w:t>
            </w:r>
            <w:proofErr w:type="spellEnd"/>
            <w:r w:rsidR="008C500E">
              <w:rPr>
                <w:rFonts w:cstheme="minorHAnsi"/>
                <w:sz w:val="24"/>
                <w:szCs w:val="24"/>
              </w:rPr>
              <w:t xml:space="preserve"> Hill </w:t>
            </w:r>
            <w:proofErr w:type="spellStart"/>
            <w:r w:rsidR="008C500E">
              <w:rPr>
                <w:rFonts w:cstheme="minorHAnsi"/>
                <w:sz w:val="24"/>
                <w:szCs w:val="24"/>
              </w:rPr>
              <w:t>Heritage</w:t>
            </w:r>
            <w:proofErr w:type="spellEnd"/>
            <w:r w:rsidR="008C500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C500E">
              <w:rPr>
                <w:rFonts w:cstheme="minorHAnsi"/>
                <w:sz w:val="24"/>
                <w:szCs w:val="24"/>
              </w:rPr>
              <w:t>Walk</w:t>
            </w:r>
            <w:proofErr w:type="spellEnd"/>
            <w:r w:rsidR="008C500E">
              <w:rPr>
                <w:rFonts w:cstheme="minorHAnsi"/>
                <w:sz w:val="24"/>
                <w:szCs w:val="24"/>
              </w:rPr>
              <w:t xml:space="preserve">). </w:t>
            </w:r>
          </w:p>
        </w:tc>
      </w:tr>
    </w:tbl>
    <w:p w14:paraId="2A823F95" w14:textId="3094DFA2" w:rsidR="00BC6313" w:rsidRDefault="00BC6313" w:rsidP="00BC6313">
      <w:pPr>
        <w:rPr>
          <w:b/>
          <w:bCs/>
        </w:rPr>
      </w:pPr>
    </w:p>
    <w:p w14:paraId="21D83A8B" w14:textId="77777777" w:rsidR="00BC6313" w:rsidRDefault="00BC6313" w:rsidP="00BC6313">
      <w:pPr>
        <w:spacing w:after="0"/>
      </w:pPr>
      <w:r w:rsidRPr="004B3A33">
        <w:rPr>
          <w:b/>
          <w:bCs/>
        </w:rPr>
        <w:t>Hogyan alkalmazhatóak a mobilitás során megszerzett tanulási eredmények a saját munkámban, illetve a küldő intézmény gyakorlatában?</w:t>
      </w:r>
    </w:p>
    <w:p w14:paraId="5A5427F6" w14:textId="30BBA611" w:rsidR="00BC6313" w:rsidRDefault="00BC6313" w:rsidP="00BC6313">
      <w:pPr>
        <w:spacing w:after="0"/>
      </w:pPr>
      <w:r>
        <w:t>(</w:t>
      </w:r>
      <w:r w:rsidRPr="00AD06DF">
        <w:t>A terjesztésre</w:t>
      </w:r>
      <w:r w:rsidR="00536B6A">
        <w:t>, beépítésre</w:t>
      </w:r>
      <w:r w:rsidRPr="00AD06DF">
        <w:t xml:space="preserve"> vonatkozó tervek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2DB66FEC" w14:textId="77777777" w:rsidTr="00BC6313">
        <w:tc>
          <w:tcPr>
            <w:tcW w:w="13994" w:type="dxa"/>
          </w:tcPr>
          <w:p w14:paraId="1BAC282C" w14:textId="403286F7" w:rsidR="00BC6313" w:rsidRDefault="00EA2996" w:rsidP="00BC6313">
            <w:pPr>
              <w:rPr>
                <w:b/>
                <w:bCs/>
              </w:rPr>
            </w:pPr>
            <w:r>
              <w:rPr>
                <w:bCs/>
              </w:rPr>
              <w:t xml:space="preserve">Tudásmegosztás keretében bemutatásra kerülnek a tananyagok akadálymentesítését, egyszerűsítését támogató funkciók. </w:t>
            </w:r>
            <w:r w:rsidRPr="00EA2996">
              <w:rPr>
                <w:b/>
                <w:bCs/>
              </w:rPr>
              <w:t xml:space="preserve"> </w:t>
            </w:r>
          </w:p>
          <w:p w14:paraId="53FF6E1A" w14:textId="77777777" w:rsidR="00BC6313" w:rsidRDefault="00BC6313" w:rsidP="00BC6313">
            <w:pPr>
              <w:rPr>
                <w:b/>
                <w:bCs/>
              </w:rPr>
            </w:pPr>
          </w:p>
          <w:p w14:paraId="23451EAC" w14:textId="5FAEE7CC" w:rsidR="00A730A2" w:rsidRDefault="00A730A2" w:rsidP="00BC6313">
            <w:pPr>
              <w:rPr>
                <w:b/>
                <w:bCs/>
              </w:rPr>
            </w:pPr>
          </w:p>
        </w:tc>
      </w:tr>
    </w:tbl>
    <w:p w14:paraId="09D458D2" w14:textId="41C312CA" w:rsidR="00686BE4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7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14:paraId="1C31BB11" w14:textId="09D0A8FF" w:rsidR="00A730A2" w:rsidRPr="00AD06DF" w:rsidRDefault="00A730A2" w:rsidP="00391C9E">
      <w:pPr>
        <w:spacing w:line="240" w:lineRule="auto"/>
      </w:pPr>
    </w:p>
    <w:p w14:paraId="32602869" w14:textId="229CCFC5" w:rsidR="005E7FFD" w:rsidRDefault="005E7FFD" w:rsidP="006F17AA">
      <w:pPr>
        <w:spacing w:after="120" w:line="240" w:lineRule="auto"/>
      </w:pPr>
      <w:r w:rsidRPr="00854C26">
        <w:rPr>
          <w:sz w:val="28"/>
          <w:szCs w:val="28"/>
          <w:highlight w:val="lightGray"/>
        </w:rPr>
        <w:lastRenderedPageBreak/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</w:t>
      </w:r>
      <w:proofErr w:type="spellStart"/>
      <w:r w:rsidR="00AD06DF">
        <w:rPr>
          <w:sz w:val="28"/>
          <w:szCs w:val="28"/>
          <w:highlight w:val="lightGray"/>
        </w:rPr>
        <w:t>job</w:t>
      </w:r>
      <w:proofErr w:type="spellEnd"/>
      <w:r w:rsidR="00AD06DF">
        <w:rPr>
          <w:sz w:val="28"/>
          <w:szCs w:val="28"/>
          <w:highlight w:val="lightGray"/>
        </w:rPr>
        <w:t xml:space="preserve"> </w:t>
      </w:r>
      <w:proofErr w:type="spellStart"/>
      <w:r w:rsidR="00AD06DF">
        <w:rPr>
          <w:sz w:val="28"/>
          <w:szCs w:val="28"/>
          <w:highlight w:val="lightGray"/>
        </w:rPr>
        <w:t>shadowing</w:t>
      </w:r>
      <w:proofErr w:type="spellEnd"/>
      <w:r w:rsidR="00AD06DF">
        <w:rPr>
          <w:sz w:val="28"/>
          <w:szCs w:val="28"/>
          <w:highlight w:val="lightGray"/>
        </w:rPr>
        <w:t>)</w:t>
      </w:r>
      <w:r w:rsidR="00AD06DF" w:rsidRPr="00391C9E">
        <w:rPr>
          <w:sz w:val="28"/>
          <w:szCs w:val="28"/>
          <w:highlight w:val="lightGray"/>
        </w:rPr>
        <w:t xml:space="preserve"> </w:t>
      </w:r>
      <w:r w:rsidR="00AD06DF" w:rsidRPr="001B1423">
        <w:rPr>
          <w:sz w:val="28"/>
          <w:szCs w:val="28"/>
        </w:rPr>
        <w:t>munkaterve</w:t>
      </w:r>
      <w:r w:rsidR="00460533" w:rsidRPr="001B1423">
        <w:rPr>
          <w:sz w:val="28"/>
          <w:szCs w:val="28"/>
        </w:rPr>
        <w:t xml:space="preserve"> napi lebontásban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1601FAFD" w14:textId="77777777" w:rsidTr="00A730A2">
        <w:trPr>
          <w:trHeight w:val="2134"/>
        </w:trPr>
        <w:tc>
          <w:tcPr>
            <w:tcW w:w="14142" w:type="dxa"/>
          </w:tcPr>
          <w:p w14:paraId="32178936" w14:textId="714AEBDB" w:rsidR="005E7FFD" w:rsidRDefault="00CC0D9F" w:rsidP="0061350B">
            <w:r>
              <w:t>2025. május 12. (hétfő):</w:t>
            </w:r>
          </w:p>
          <w:p w14:paraId="1D547620" w14:textId="334AF8B3" w:rsidR="00CC0D9F" w:rsidRDefault="00CC0D9F" w:rsidP="0061350B">
            <w:r>
              <w:t xml:space="preserve">- Bevezetés és a kurzus áttekintése – </w:t>
            </w:r>
            <w:proofErr w:type="spellStart"/>
            <w:r w:rsidR="00AF7947">
              <w:t>Inklúzió</w:t>
            </w:r>
            <w:proofErr w:type="spellEnd"/>
            <w:r w:rsidR="00AF7947">
              <w:t>. A sajátos nevelési igénnyel kapcsolatos tények és tévhitek.</w:t>
            </w:r>
            <w:r>
              <w:t xml:space="preserve"> Mit hoz a sajátos nevelési igényű tanuló az</w:t>
            </w:r>
            <w:r w:rsidR="00AF7947">
              <w:t xml:space="preserve"> osztályterembe?</w:t>
            </w:r>
          </w:p>
          <w:p w14:paraId="6F6CC7FE" w14:textId="3B413CD5" w:rsidR="009967BC" w:rsidRDefault="009967BC" w:rsidP="0061350B">
            <w:r>
              <w:t>- A máltai oktatási rendszer</w:t>
            </w:r>
          </w:p>
          <w:p w14:paraId="5E33A82B" w14:textId="4BB39D49" w:rsidR="00AF7947" w:rsidRDefault="00AF7947" w:rsidP="0061350B">
            <w:r>
              <w:t>- A sajátos nevelési igény megértése – Milyen kihívások elé állít bennünket egy ilyen tanuló?</w:t>
            </w:r>
          </w:p>
          <w:p w14:paraId="44A5E6C4" w14:textId="05E907BC" w:rsidR="00AF7947" w:rsidRDefault="00AF7947" w:rsidP="0061350B">
            <w:r>
              <w:t>- Az SNI tanulókkal való munka – Tanulási nehézségek vagy tanulási különbségek? Mi azonos és mi különbözik az együttnevelés során?</w:t>
            </w:r>
          </w:p>
          <w:p w14:paraId="68B61600" w14:textId="77777777" w:rsidR="00CC0D9F" w:rsidRDefault="00CC0D9F" w:rsidP="0061350B"/>
          <w:p w14:paraId="74934C8D" w14:textId="77777777" w:rsidR="00CC0D9F" w:rsidRDefault="00CC0D9F" w:rsidP="0061350B">
            <w:r>
              <w:t>2025. május 13. (kedd):</w:t>
            </w:r>
          </w:p>
          <w:p w14:paraId="57DA732A" w14:textId="52F499F7" w:rsidR="00AF7947" w:rsidRDefault="00AF7947" w:rsidP="0061350B">
            <w:r>
              <w:t>- Együttnevelés – Hogyan profitálhatnak egymás tulajdonságaiból a tanulók? Milyen a pozitív pedagógiai szemlélet és tevékenység?</w:t>
            </w:r>
          </w:p>
          <w:p w14:paraId="0CC38CF3" w14:textId="1F931D50" w:rsidR="00AF7947" w:rsidRDefault="00AF7947" w:rsidP="0061350B">
            <w:r>
              <w:t>- A tanulók bevonása - inkluzív gyakorlat a tanteremben, tapasztalati tanulás</w:t>
            </w:r>
          </w:p>
          <w:p w14:paraId="1765B7C8" w14:textId="2B5735CE" w:rsidR="00AF7947" w:rsidRDefault="00AF7947" w:rsidP="0061350B">
            <w:r>
              <w:t xml:space="preserve">- A tanulók bevonása – különbözőségek kezelése </w:t>
            </w:r>
          </w:p>
          <w:p w14:paraId="50C77E09" w14:textId="103B0420" w:rsidR="009967BC" w:rsidRDefault="009967BC" w:rsidP="0061350B">
            <w:r>
              <w:t>- Az SNI tanulók ellátása Máltán</w:t>
            </w:r>
          </w:p>
          <w:p w14:paraId="2C76E627" w14:textId="77777777" w:rsidR="00CC0D9F" w:rsidRDefault="00CC0D9F" w:rsidP="0061350B"/>
          <w:p w14:paraId="7F4351C3" w14:textId="77777777" w:rsidR="00CC0D9F" w:rsidRDefault="00CC0D9F" w:rsidP="0061350B">
            <w:r>
              <w:t>2025. május 14. (szerda):</w:t>
            </w:r>
          </w:p>
          <w:p w14:paraId="4BB7F7F4" w14:textId="43AEC927" w:rsidR="00AF7947" w:rsidRDefault="00AF7947" w:rsidP="0061350B">
            <w:r>
              <w:t>- Tanulási utak – különböző tanítási és tanulási módok</w:t>
            </w:r>
          </w:p>
          <w:p w14:paraId="2367BF2D" w14:textId="0758316E" w:rsidR="00AF7947" w:rsidRDefault="00AF7947" w:rsidP="0061350B">
            <w:r>
              <w:t xml:space="preserve">- A </w:t>
            </w:r>
            <w:proofErr w:type="spellStart"/>
            <w:r>
              <w:t>neurodiverzitás</w:t>
            </w:r>
            <w:proofErr w:type="spellEnd"/>
            <w:r>
              <w:t xml:space="preserve"> – Hogyan </w:t>
            </w:r>
            <w:r w:rsidR="00EA3ABB">
              <w:t>alkalmazkodjunk a különbözően működő elmékhez?</w:t>
            </w:r>
          </w:p>
          <w:p w14:paraId="638915F6" w14:textId="68B4DE45" w:rsidR="009967BC" w:rsidRDefault="009967BC" w:rsidP="0061350B">
            <w:r>
              <w:t>- SNI tanuló fejlesztésének tervezése, szervezése esettanulmány alapján</w:t>
            </w:r>
          </w:p>
          <w:p w14:paraId="431A05D5" w14:textId="147272B0" w:rsidR="009967BC" w:rsidRDefault="009967BC" w:rsidP="0061350B">
            <w:r>
              <w:t>- A diagnózis felállításának intézményei Máltán</w:t>
            </w:r>
          </w:p>
          <w:p w14:paraId="68682C13" w14:textId="77777777" w:rsidR="00CC0D9F" w:rsidRDefault="00CC0D9F" w:rsidP="0061350B"/>
          <w:p w14:paraId="4A6BF25D" w14:textId="77777777" w:rsidR="00CC0D9F" w:rsidRDefault="00CC0D9F" w:rsidP="0061350B">
            <w:r>
              <w:t>2025. május 15. (csütörtök):</w:t>
            </w:r>
          </w:p>
          <w:p w14:paraId="7DBFEE34" w14:textId="439C979C" w:rsidR="009967BC" w:rsidRDefault="009967BC" w:rsidP="0061350B">
            <w:r>
              <w:t>- Tantermi eszközök – a technológia használata</w:t>
            </w:r>
          </w:p>
          <w:p w14:paraId="1AFFE1E5" w14:textId="1B0BC2D7" w:rsidR="009967BC" w:rsidRDefault="009967BC" w:rsidP="0061350B">
            <w:r>
              <w:t>- Tantermi eszközök – felhőalapú eszközök, amelyek lehetővé teszik az együttműködést és az információk megosztását</w:t>
            </w:r>
          </w:p>
          <w:p w14:paraId="2D3E723F" w14:textId="7B3D013B" w:rsidR="009967BC" w:rsidRDefault="009967BC" w:rsidP="0061350B">
            <w:r>
              <w:t>- Tantermi diagnosztikus eszközök – PAGS</w:t>
            </w:r>
          </w:p>
          <w:p w14:paraId="05A68C67" w14:textId="14882D81" w:rsidR="009967BC" w:rsidRDefault="009967BC" w:rsidP="0061350B">
            <w:r>
              <w:t>- Tevékenységszervezés egy SNI tanuló számára esettanulmány alapján</w:t>
            </w:r>
          </w:p>
          <w:p w14:paraId="7F6FC0CC" w14:textId="77777777" w:rsidR="00CC0D9F" w:rsidRDefault="00CC0D9F" w:rsidP="0061350B"/>
          <w:p w14:paraId="1AD081EE" w14:textId="77777777" w:rsidR="00CC0D9F" w:rsidRDefault="00CC0D9F" w:rsidP="0061350B">
            <w:r>
              <w:t>2025. május 16. (péntek):</w:t>
            </w:r>
          </w:p>
          <w:p w14:paraId="7D444186" w14:textId="4746665C" w:rsidR="00CC0D9F" w:rsidRDefault="009967BC" w:rsidP="0061350B">
            <w:r>
              <w:t>- A tanulmányi előrehaladás és fejlődés mérése</w:t>
            </w:r>
          </w:p>
          <w:p w14:paraId="72D1AF9C" w14:textId="5BB0EDFB" w:rsidR="009967BC" w:rsidRDefault="009967BC" w:rsidP="0061350B">
            <w:r>
              <w:t>- Projekt prezentálása</w:t>
            </w:r>
          </w:p>
          <w:p w14:paraId="2DFB1FDC" w14:textId="6A9F5FF6" w:rsidR="00CC0D9F" w:rsidRDefault="009967BC" w:rsidP="0061350B">
            <w:r>
              <w:t>- A képzés értékelése</w:t>
            </w:r>
          </w:p>
        </w:tc>
      </w:tr>
    </w:tbl>
    <w:p w14:paraId="1AA879B8" w14:textId="77777777" w:rsidR="00A236F9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Dátum: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24A28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E085A" w14:textId="77777777" w:rsidR="00CF556B" w:rsidRDefault="00CF556B" w:rsidP="0061350B">
      <w:pPr>
        <w:spacing w:after="0" w:line="240" w:lineRule="auto"/>
      </w:pPr>
      <w:r>
        <w:separator/>
      </w:r>
    </w:p>
  </w:endnote>
  <w:endnote w:type="continuationSeparator" w:id="0">
    <w:p w14:paraId="0530D920" w14:textId="77777777" w:rsidR="00CF556B" w:rsidRDefault="00CF556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AAD6B" w14:textId="77777777" w:rsidR="00CF556B" w:rsidRDefault="00CF556B" w:rsidP="0061350B">
      <w:pPr>
        <w:spacing w:after="0" w:line="240" w:lineRule="auto"/>
      </w:pPr>
      <w:r>
        <w:separator/>
      </w:r>
    </w:p>
  </w:footnote>
  <w:footnote w:type="continuationSeparator" w:id="0">
    <w:p w14:paraId="67A679CC" w14:textId="77777777" w:rsidR="00CF556B" w:rsidRDefault="00CF556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421D8" w14:textId="72C7EDBB" w:rsidR="0061350B" w:rsidRPr="0061350B" w:rsidRDefault="00CF556B" w:rsidP="00D314EB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34A1"/>
    <w:multiLevelType w:val="hybridMultilevel"/>
    <w:tmpl w:val="6270C48A"/>
    <w:lvl w:ilvl="0" w:tplc="C69AB5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6"/>
    <w:rsid w:val="0005288D"/>
    <w:rsid w:val="000802E0"/>
    <w:rsid w:val="000A07A3"/>
    <w:rsid w:val="000E5811"/>
    <w:rsid w:val="000F7124"/>
    <w:rsid w:val="0013062D"/>
    <w:rsid w:val="00151D23"/>
    <w:rsid w:val="001943B9"/>
    <w:rsid w:val="001A73D2"/>
    <w:rsid w:val="001B1423"/>
    <w:rsid w:val="001C3F2C"/>
    <w:rsid w:val="00206C98"/>
    <w:rsid w:val="00213FFA"/>
    <w:rsid w:val="00266500"/>
    <w:rsid w:val="002803F3"/>
    <w:rsid w:val="002B5674"/>
    <w:rsid w:val="002E38FF"/>
    <w:rsid w:val="002F4FCE"/>
    <w:rsid w:val="003336D0"/>
    <w:rsid w:val="00391C9E"/>
    <w:rsid w:val="003B1861"/>
    <w:rsid w:val="003C2C83"/>
    <w:rsid w:val="003D2D4E"/>
    <w:rsid w:val="004231FF"/>
    <w:rsid w:val="00460533"/>
    <w:rsid w:val="00472CCD"/>
    <w:rsid w:val="00483DA0"/>
    <w:rsid w:val="004B3A33"/>
    <w:rsid w:val="00536B6A"/>
    <w:rsid w:val="00566077"/>
    <w:rsid w:val="005A6695"/>
    <w:rsid w:val="005E7FFD"/>
    <w:rsid w:val="00602EE9"/>
    <w:rsid w:val="0061350B"/>
    <w:rsid w:val="00646D28"/>
    <w:rsid w:val="00663794"/>
    <w:rsid w:val="0067146E"/>
    <w:rsid w:val="0067721A"/>
    <w:rsid w:val="00686BE4"/>
    <w:rsid w:val="006D0EB3"/>
    <w:rsid w:val="006F17AA"/>
    <w:rsid w:val="006F48AC"/>
    <w:rsid w:val="00715E13"/>
    <w:rsid w:val="007301CD"/>
    <w:rsid w:val="0074549C"/>
    <w:rsid w:val="00745992"/>
    <w:rsid w:val="00773C79"/>
    <w:rsid w:val="007A4B7F"/>
    <w:rsid w:val="007A6560"/>
    <w:rsid w:val="007B3272"/>
    <w:rsid w:val="007B4C70"/>
    <w:rsid w:val="007C10F6"/>
    <w:rsid w:val="00854C26"/>
    <w:rsid w:val="00857282"/>
    <w:rsid w:val="00866058"/>
    <w:rsid w:val="008766EC"/>
    <w:rsid w:val="008B0211"/>
    <w:rsid w:val="008B61BA"/>
    <w:rsid w:val="008B7245"/>
    <w:rsid w:val="008C500E"/>
    <w:rsid w:val="008E0348"/>
    <w:rsid w:val="008F0210"/>
    <w:rsid w:val="009923C7"/>
    <w:rsid w:val="009967BC"/>
    <w:rsid w:val="009A36D8"/>
    <w:rsid w:val="009D176D"/>
    <w:rsid w:val="009E0D1A"/>
    <w:rsid w:val="00A1440D"/>
    <w:rsid w:val="00A17395"/>
    <w:rsid w:val="00A236F9"/>
    <w:rsid w:val="00A730A2"/>
    <w:rsid w:val="00A769A3"/>
    <w:rsid w:val="00AD06DF"/>
    <w:rsid w:val="00AF0A03"/>
    <w:rsid w:val="00AF5527"/>
    <w:rsid w:val="00AF7947"/>
    <w:rsid w:val="00B86F7C"/>
    <w:rsid w:val="00BC6313"/>
    <w:rsid w:val="00BD5F74"/>
    <w:rsid w:val="00C0339E"/>
    <w:rsid w:val="00CC0D9F"/>
    <w:rsid w:val="00CC1FE0"/>
    <w:rsid w:val="00CD12DC"/>
    <w:rsid w:val="00CF556B"/>
    <w:rsid w:val="00D12036"/>
    <w:rsid w:val="00D314EB"/>
    <w:rsid w:val="00D468F7"/>
    <w:rsid w:val="00D77E71"/>
    <w:rsid w:val="00DC5CA2"/>
    <w:rsid w:val="00E10473"/>
    <w:rsid w:val="00E73D70"/>
    <w:rsid w:val="00EA2996"/>
    <w:rsid w:val="00EA3ABB"/>
    <w:rsid w:val="00EC08D7"/>
    <w:rsid w:val="00EE6040"/>
    <w:rsid w:val="00EF1897"/>
    <w:rsid w:val="00F41303"/>
    <w:rsid w:val="00F520F7"/>
    <w:rsid w:val="00FA60E5"/>
    <w:rsid w:val="00FC586A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Vltozat">
    <w:name w:val="Revision"/>
    <w:hidden/>
    <w:uiPriority w:val="99"/>
    <w:semiHidden/>
    <w:rsid w:val="00206C9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5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58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58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ka.hu/kiadvany/7099/az-iskola-es-a-vil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832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Czibere Csilla</cp:lastModifiedBy>
  <cp:revision>4</cp:revision>
  <dcterms:created xsi:type="dcterms:W3CDTF">2025-07-07T20:12:00Z</dcterms:created>
  <dcterms:modified xsi:type="dcterms:W3CDTF">2025-07-07T20:22:00Z</dcterms:modified>
</cp:coreProperties>
</file>